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footer+xml" PartName="/word/footer4.xml"/>
  <Override ContentType="application/vnd.openxmlformats-officedocument.wordprocessingml.header+xml" PartName="/word/header1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6000000">
      <w:pPr>
        <w:spacing w:after="0" w:line="240" w:lineRule="auto"/>
        <w:ind w:firstLine="0" w:left="1119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Приложение № </w:t>
      </w:r>
      <w:r>
        <w:rPr>
          <w:rFonts w:ascii="Times New Roman" w:hAnsi="Times New Roman"/>
          <w:sz w:val="28"/>
        </w:rPr>
        <w:t>2</w:t>
      </w:r>
    </w:p>
    <w:p w14:paraId="07000000">
      <w:pPr>
        <w:spacing w:after="0" w:line="240" w:lineRule="auto"/>
        <w:ind w:firstLine="0" w:left="11199"/>
        <w:rPr>
          <w:rFonts w:ascii="Times New Roman" w:hAnsi="Times New Roman"/>
          <w:sz w:val="28"/>
        </w:rPr>
      </w:pPr>
    </w:p>
    <w:p w14:paraId="08000000">
      <w:pPr>
        <w:spacing w:after="0" w:line="240" w:lineRule="auto"/>
        <w:ind w:firstLine="0" w:left="1119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Положению</w:t>
      </w:r>
    </w:p>
    <w:p w14:paraId="09000000">
      <w:pPr>
        <w:spacing w:after="0" w:line="240" w:lineRule="auto"/>
        <w:ind w:firstLine="0" w:left="11057"/>
        <w:rPr>
          <w:rFonts w:ascii="Times New Roman" w:hAnsi="Times New Roman"/>
          <w:sz w:val="28"/>
        </w:rPr>
      </w:pPr>
    </w:p>
    <w:p w14:paraId="0A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ФОРМА</w:t>
      </w:r>
    </w:p>
    <w:p w14:paraId="0B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плана </w:t>
      </w:r>
      <w:r>
        <w:rPr>
          <w:rFonts w:ascii="Times New Roman" w:hAnsi="Times New Roman"/>
          <w:b w:val="1"/>
          <w:sz w:val="28"/>
        </w:rPr>
        <w:t>мероприятий по минимизации коррупционных рисков</w:t>
      </w:r>
    </w:p>
    <w:p w14:paraId="0C000000">
      <w:pPr>
        <w:spacing w:after="0" w:line="240" w:lineRule="auto"/>
        <w:ind w:firstLine="0" w:left="11057"/>
        <w:rPr>
          <w:rFonts w:ascii="Times New Roman" w:hAnsi="Times New Roman"/>
          <w:sz w:val="28"/>
        </w:rPr>
      </w:pPr>
    </w:p>
    <w:p w14:paraId="0D000000">
      <w:pPr>
        <w:tabs>
          <w:tab w:leader="none" w:pos="11199" w:val="left"/>
          <w:tab w:leader="none" w:pos="11624" w:val="left"/>
        </w:tabs>
        <w:spacing w:after="0" w:line="240" w:lineRule="auto"/>
        <w:ind w:firstLine="0" w:left="1119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УТВЕРЖДЕН</w:t>
      </w:r>
    </w:p>
    <w:p w14:paraId="0E000000">
      <w:pPr>
        <w:ind w:firstLine="0" w:left="10205"/>
        <w:rPr>
          <w:rFonts w:ascii="Times New Roman" w:hAnsi="Times New Roman"/>
          <w:b w:val="1"/>
          <w:sz w:val="28"/>
          <w:vertAlign w:val="superscript"/>
        </w:rPr>
      </w:pPr>
      <w:r>
        <w:rPr>
          <w:rFonts w:ascii="Times New Roman" w:hAnsi="Times New Roman"/>
          <w:sz w:val="28"/>
        </w:rPr>
        <w:t xml:space="preserve">приказом </w:t>
      </w:r>
      <w:r>
        <w:rPr>
          <w:rFonts w:ascii="Times New Roman" w:hAnsi="Times New Roman"/>
          <w:color w:val="000000"/>
          <w:sz w:val="28"/>
        </w:rPr>
        <w:t>КОГБУК «Кировский областной краеведческий музей имени П.В. Алабина»</w:t>
      </w:r>
    </w:p>
    <w:p w14:paraId="0F000000">
      <w:pPr>
        <w:tabs>
          <w:tab w:leader="none" w:pos="11199" w:val="left"/>
          <w:tab w:leader="none" w:pos="11624" w:val="left"/>
        </w:tabs>
        <w:spacing w:after="0" w:line="240" w:lineRule="auto"/>
        <w:ind w:firstLine="0" w:left="11199"/>
        <w:rPr>
          <w:rFonts w:ascii="Times New Roman" w:hAnsi="Times New Roman"/>
          <w:sz w:val="28"/>
        </w:rPr>
      </w:pPr>
    </w:p>
    <w:p w14:paraId="10000000">
      <w:pPr>
        <w:tabs>
          <w:tab w:leader="none" w:pos="11199" w:val="left"/>
          <w:tab w:leader="none" w:pos="11624" w:val="left"/>
        </w:tabs>
        <w:spacing w:after="0" w:line="240" w:lineRule="auto"/>
        <w:ind w:firstLine="0" w:left="1119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18.04.2024 г. №96</w:t>
      </w:r>
    </w:p>
    <w:p w14:paraId="11000000">
      <w:pPr>
        <w:spacing w:after="0" w:line="240" w:lineRule="auto"/>
        <w:ind w:firstLine="0" w:left="11057"/>
        <w:rPr>
          <w:rFonts w:ascii="Times New Roman" w:hAnsi="Times New Roman"/>
          <w:sz w:val="28"/>
        </w:rPr>
      </w:pPr>
    </w:p>
    <w:p w14:paraId="12000000">
      <w:pPr>
        <w:spacing w:after="0" w:line="240" w:lineRule="auto"/>
        <w:ind/>
        <w:jc w:val="center"/>
        <w:rPr>
          <w:rFonts w:ascii="Times New Roman" w:hAnsi="Times New Roman"/>
          <w:b w:val="1"/>
          <w:sz w:val="22"/>
        </w:rPr>
      </w:pPr>
      <w:r>
        <w:rPr>
          <w:rFonts w:ascii="Times New Roman" w:hAnsi="Times New Roman"/>
          <w:b w:val="1"/>
          <w:sz w:val="22"/>
        </w:rPr>
        <w:t>ПЛАН</w:t>
      </w:r>
    </w:p>
    <w:p w14:paraId="13000000">
      <w:pPr>
        <w:spacing w:after="0" w:line="240" w:lineRule="auto"/>
        <w:ind/>
        <w:jc w:val="center"/>
        <w:rPr>
          <w:rFonts w:ascii="Times New Roman" w:hAnsi="Times New Roman"/>
          <w:b w:val="1"/>
          <w:sz w:val="22"/>
        </w:rPr>
      </w:pPr>
      <w:r>
        <w:rPr>
          <w:rFonts w:ascii="Times New Roman" w:hAnsi="Times New Roman"/>
          <w:b w:val="1"/>
          <w:sz w:val="22"/>
        </w:rPr>
        <w:t xml:space="preserve">мероприятий по минимизации коррупционных рисков </w:t>
      </w:r>
    </w:p>
    <w:p w14:paraId="14000000">
      <w:pPr>
        <w:spacing w:after="0" w:line="240" w:lineRule="auto"/>
        <w:ind/>
        <w:jc w:val="center"/>
        <w:rPr>
          <w:rFonts w:ascii="Times New Roman" w:hAnsi="Times New Roman"/>
          <w:b w:val="1"/>
          <w:sz w:val="22"/>
        </w:rPr>
      </w:pPr>
    </w:p>
    <w:tbl>
      <w:tblPr>
        <w:tblStyle w:val="Style_3"/>
        <w:tblBorders>
          <w:top w:color="000000" w:sz="4" w:val="single"/>
          <w:left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51"/>
        <w:gridCol w:w="3232"/>
        <w:gridCol w:w="2494"/>
        <w:gridCol w:w="2494"/>
        <w:gridCol w:w="1987"/>
        <w:gridCol w:w="1982"/>
        <w:gridCol w:w="1830"/>
      </w:tblGrid>
      <w:tr>
        <w:trPr>
          <w:trHeight w:hRule="atLeast" w:val="800"/>
          <w:tblHeader/>
        </w:trPr>
        <w:tc>
          <w:tcPr>
            <w:tcW w:type="dxa" w:w="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0000"/>
                <w:sz w:val="22"/>
              </w:rPr>
            </w:pPr>
            <w:r>
              <w:rPr>
                <w:rFonts w:ascii="Times New Roman" w:hAnsi="Times New Roman"/>
                <w:b w:val="1"/>
                <w:color w:val="000000"/>
                <w:sz w:val="22"/>
              </w:rPr>
              <w:t xml:space="preserve">№ </w:t>
            </w:r>
            <w:r>
              <w:rPr>
                <w:rFonts w:ascii="Times New Roman" w:hAnsi="Times New Roman"/>
                <w:b w:val="1"/>
                <w:color w:val="000000"/>
                <w:sz w:val="22"/>
              </w:rPr>
              <w:t>п</w:t>
            </w:r>
            <w:r>
              <w:rPr>
                <w:rFonts w:ascii="Times New Roman" w:hAnsi="Times New Roman"/>
                <w:b w:val="1"/>
                <w:color w:val="000000"/>
                <w:sz w:val="22"/>
              </w:rPr>
              <w:t>/п</w:t>
            </w:r>
          </w:p>
        </w:tc>
        <w:tc>
          <w:tcPr>
            <w:tcW w:type="dxa" w:w="32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0000"/>
                <w:sz w:val="22"/>
              </w:rPr>
            </w:pPr>
            <w:r>
              <w:rPr>
                <w:rFonts w:ascii="Times New Roman" w:hAnsi="Times New Roman"/>
                <w:b w:val="1"/>
                <w:color w:val="000000"/>
                <w:sz w:val="22"/>
              </w:rPr>
              <w:t xml:space="preserve">Мероприятие </w:t>
            </w:r>
          </w:p>
          <w:p w14:paraId="1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0000"/>
                <w:sz w:val="22"/>
              </w:rPr>
            </w:pPr>
            <w:r>
              <w:rPr>
                <w:rFonts w:ascii="Times New Roman" w:hAnsi="Times New Roman"/>
                <w:b w:val="1"/>
                <w:color w:val="000000"/>
                <w:sz w:val="22"/>
              </w:rPr>
              <w:t xml:space="preserve">по минимизации </w:t>
            </w:r>
          </w:p>
          <w:p w14:paraId="18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0000"/>
                <w:sz w:val="22"/>
              </w:rPr>
            </w:pPr>
            <w:r>
              <w:rPr>
                <w:rFonts w:ascii="Times New Roman" w:hAnsi="Times New Roman"/>
                <w:b w:val="1"/>
                <w:color w:val="000000"/>
                <w:sz w:val="22"/>
              </w:rPr>
              <w:t>коррупционных рисков</w:t>
            </w:r>
          </w:p>
        </w:tc>
        <w:tc>
          <w:tcPr>
            <w:tcW w:type="dxa" w:w="2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0000"/>
                <w:sz w:val="22"/>
              </w:rPr>
            </w:pPr>
            <w:r>
              <w:rPr>
                <w:rFonts w:ascii="Times New Roman" w:hAnsi="Times New Roman"/>
                <w:b w:val="1"/>
                <w:color w:val="000000"/>
                <w:sz w:val="22"/>
              </w:rPr>
              <w:t xml:space="preserve">Направление </w:t>
            </w:r>
          </w:p>
          <w:p w14:paraId="1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0000"/>
                <w:sz w:val="22"/>
              </w:rPr>
            </w:pPr>
            <w:r>
              <w:rPr>
                <w:rFonts w:ascii="Times New Roman" w:hAnsi="Times New Roman"/>
                <w:b w:val="1"/>
                <w:color w:val="000000"/>
                <w:sz w:val="22"/>
              </w:rPr>
              <w:t>деятельности</w:t>
            </w:r>
          </w:p>
        </w:tc>
        <w:tc>
          <w:tcPr>
            <w:tcW w:type="dxa" w:w="2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0000"/>
                <w:sz w:val="22"/>
              </w:rPr>
            </w:pPr>
            <w:r>
              <w:rPr>
                <w:rFonts w:ascii="Times New Roman" w:hAnsi="Times New Roman"/>
                <w:b w:val="1"/>
                <w:color w:val="000000"/>
                <w:sz w:val="22"/>
              </w:rPr>
              <w:t>Критическая точка</w:t>
            </w: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0000"/>
                <w:sz w:val="22"/>
              </w:rPr>
            </w:pPr>
            <w:r>
              <w:rPr>
                <w:rFonts w:ascii="Times New Roman" w:hAnsi="Times New Roman"/>
                <w:b w:val="1"/>
                <w:color w:val="000000"/>
                <w:sz w:val="22"/>
              </w:rPr>
              <w:t xml:space="preserve">Срок </w:t>
            </w:r>
          </w:p>
          <w:p w14:paraId="1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0000"/>
                <w:sz w:val="22"/>
              </w:rPr>
            </w:pPr>
            <w:r>
              <w:rPr>
                <w:rFonts w:ascii="Times New Roman" w:hAnsi="Times New Roman"/>
                <w:b w:val="1"/>
                <w:color w:val="000000"/>
                <w:sz w:val="22"/>
              </w:rPr>
              <w:t>(периодичность) реализации</w:t>
            </w:r>
          </w:p>
        </w:tc>
        <w:tc>
          <w:tcPr>
            <w:tcW w:type="dxa" w:w="1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0000"/>
                <w:sz w:val="22"/>
              </w:rPr>
            </w:pPr>
            <w:r>
              <w:rPr>
                <w:rFonts w:ascii="Times New Roman" w:hAnsi="Times New Roman"/>
                <w:b w:val="1"/>
                <w:color w:val="000000"/>
                <w:sz w:val="22"/>
              </w:rPr>
              <w:t>Ответственный</w:t>
            </w:r>
            <w:r>
              <w:rPr>
                <w:rFonts w:ascii="Times New Roman" w:hAnsi="Times New Roman"/>
                <w:b w:val="1"/>
                <w:color w:val="000000"/>
                <w:sz w:val="22"/>
              </w:rPr>
              <w:t xml:space="preserve"> за реализацию </w:t>
            </w:r>
          </w:p>
          <w:p w14:paraId="1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0000"/>
                <w:sz w:val="22"/>
              </w:rPr>
            </w:pPr>
            <w:r>
              <w:rPr>
                <w:rFonts w:ascii="Times New Roman" w:hAnsi="Times New Roman"/>
                <w:b w:val="1"/>
                <w:color w:val="000000"/>
                <w:sz w:val="22"/>
              </w:rPr>
              <w:t xml:space="preserve">работник              </w:t>
            </w:r>
          </w:p>
        </w:tc>
        <w:tc>
          <w:tcPr>
            <w:tcW w:type="dxa" w:w="1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0000"/>
                <w:sz w:val="22"/>
              </w:rPr>
            </w:pPr>
            <w:r>
              <w:rPr>
                <w:rFonts w:ascii="Times New Roman" w:hAnsi="Times New Roman"/>
                <w:b w:val="1"/>
                <w:color w:val="000000"/>
                <w:sz w:val="22"/>
              </w:rPr>
              <w:t>Планируемый результат</w:t>
            </w:r>
          </w:p>
        </w:tc>
      </w:tr>
      <w:tr>
        <w:trPr>
          <w:trHeight w:hRule="atLeast" w:val="2182"/>
        </w:trPr>
        <w:tc>
          <w:tcPr>
            <w:tcW w:type="dxa" w:w="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1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</w:t>
            </w:r>
          </w:p>
        </w:tc>
        <w:tc>
          <w:tcPr>
            <w:tcW w:type="dxa" w:w="32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2000000">
            <w:pPr>
              <w:spacing w:after="0" w:line="240" w:lineRule="auto"/>
              <w:ind/>
              <w:jc w:val="both"/>
              <w:rPr>
                <w:rFonts w:ascii="Times New Roman" w:hAnsi="Times New Roman"/>
                <w:i w:val="1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Информационная откр</w:t>
            </w:r>
            <w:r>
              <w:rPr>
                <w:rFonts w:ascii="Times New Roman" w:hAnsi="Times New Roman"/>
                <w:color w:val="000000"/>
                <w:sz w:val="22"/>
              </w:rPr>
              <w:t>ы</w:t>
            </w:r>
            <w:r>
              <w:rPr>
                <w:rFonts w:ascii="Times New Roman" w:hAnsi="Times New Roman"/>
                <w:color w:val="000000"/>
                <w:sz w:val="22"/>
              </w:rPr>
              <w:t xml:space="preserve">тость деятельности </w:t>
            </w:r>
            <w:r>
              <w:rPr>
                <w:rFonts w:ascii="Times New Roman" w:hAnsi="Times New Roman"/>
                <w:i w:val="1"/>
                <w:color w:val="000000"/>
                <w:sz w:val="22"/>
              </w:rPr>
              <w:t>(</w:t>
            </w:r>
            <w:r>
              <w:rPr>
                <w:rFonts w:ascii="Times New Roman" w:hAnsi="Times New Roman"/>
                <w:color w:val="000000"/>
                <w:sz w:val="22"/>
              </w:rPr>
              <w:t>КОГБУК «Кировский областной краеведческий музей имени П.В. Алабина»</w:t>
            </w:r>
            <w:r>
              <w:rPr>
                <w:rFonts w:ascii="Times New Roman" w:hAnsi="Times New Roman"/>
                <w:color w:val="000000"/>
                <w:sz w:val="22"/>
              </w:rPr>
              <w:t xml:space="preserve"> (далее –  Учрежд</w:t>
            </w:r>
            <w:r>
              <w:rPr>
                <w:rFonts w:ascii="Times New Roman" w:hAnsi="Times New Roman"/>
                <w:color w:val="000000"/>
                <w:sz w:val="22"/>
              </w:rPr>
              <w:t>е</w:t>
            </w:r>
            <w:r>
              <w:rPr>
                <w:rFonts w:ascii="Times New Roman" w:hAnsi="Times New Roman"/>
                <w:color w:val="000000"/>
                <w:sz w:val="22"/>
              </w:rPr>
              <w:t>ние)</w:t>
            </w:r>
          </w:p>
        </w:tc>
        <w:tc>
          <w:tcPr>
            <w:tcW w:type="dxa" w:w="2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рганизация</w:t>
            </w:r>
          </w:p>
          <w:p w14:paraId="2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деятельности </w:t>
            </w:r>
          </w:p>
          <w:p w14:paraId="2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Учреждения</w:t>
            </w:r>
          </w:p>
          <w:p w14:paraId="2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2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п</w:t>
            </w:r>
            <w:r>
              <w:rPr>
                <w:rFonts w:ascii="Times New Roman" w:hAnsi="Times New Roman"/>
                <w:color w:val="000000"/>
                <w:sz w:val="22"/>
              </w:rPr>
              <w:t xml:space="preserve">ринятие </w:t>
            </w:r>
          </w:p>
          <w:p w14:paraId="28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управленческих </w:t>
            </w:r>
          </w:p>
          <w:p w14:paraId="2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решений</w:t>
            </w: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постоянно</w:t>
            </w:r>
          </w:p>
        </w:tc>
        <w:tc>
          <w:tcPr>
            <w:tcW w:type="dxa" w:w="1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руководитель</w:t>
            </w:r>
          </w:p>
          <w:p w14:paraId="2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Учреждения,</w:t>
            </w:r>
          </w:p>
          <w:p w14:paraId="2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заместители</w:t>
            </w:r>
          </w:p>
          <w:p w14:paraId="2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руководителя</w:t>
            </w:r>
          </w:p>
          <w:p w14:paraId="2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Учреждения,</w:t>
            </w:r>
          </w:p>
          <w:p w14:paraId="3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руководители </w:t>
            </w:r>
            <w:r>
              <w:rPr>
                <w:rFonts w:ascii="Times New Roman" w:hAnsi="Times New Roman"/>
                <w:color w:val="000000"/>
                <w:sz w:val="22"/>
              </w:rPr>
              <w:t>структурных</w:t>
            </w:r>
          </w:p>
          <w:p w14:paraId="31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подразделений</w:t>
            </w:r>
          </w:p>
        </w:tc>
        <w:tc>
          <w:tcPr>
            <w:tcW w:type="dxa" w:w="1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2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минимизация коррупционных рисков</w:t>
            </w:r>
          </w:p>
        </w:tc>
      </w:tr>
      <w:tr>
        <w:trPr>
          <w:trHeight w:hRule="atLeast" w:val="800"/>
        </w:trPr>
        <w:tc>
          <w:tcPr>
            <w:tcW w:type="dxa" w:w="551"/>
            <w:tcBorders>
              <w:top w:color="000000" w:sz="4" w:val="single"/>
              <w:left w:color="000000" w:sz="4" w:val="single"/>
              <w:right w:color="000000" w:sz="4" w:val="single"/>
            </w:tcBorders>
            <w:shd w:fill="auto" w:val="clear"/>
          </w:tcPr>
          <w:p w14:paraId="3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2</w:t>
            </w:r>
          </w:p>
        </w:tc>
        <w:tc>
          <w:tcPr>
            <w:tcW w:type="dxa" w:w="3232"/>
            <w:tcBorders>
              <w:top w:color="000000" w:sz="4" w:val="single"/>
              <w:left w:color="000000" w:sz="4" w:val="single"/>
              <w:right w:color="000000" w:sz="4" w:val="single"/>
            </w:tcBorders>
            <w:shd w:fill="auto" w:val="clear"/>
          </w:tcPr>
          <w:p w14:paraId="34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Внедрение систем электро</w:t>
            </w:r>
            <w:r>
              <w:rPr>
                <w:rFonts w:ascii="Times New Roman" w:hAnsi="Times New Roman"/>
                <w:color w:val="000000"/>
                <w:sz w:val="22"/>
              </w:rPr>
              <w:t>н</w:t>
            </w:r>
            <w:r>
              <w:rPr>
                <w:rFonts w:ascii="Times New Roman" w:hAnsi="Times New Roman"/>
                <w:color w:val="000000"/>
                <w:sz w:val="22"/>
              </w:rPr>
              <w:t>ного взаимодействия с гра</w:t>
            </w:r>
            <w:r>
              <w:rPr>
                <w:rFonts w:ascii="Times New Roman" w:hAnsi="Times New Roman"/>
                <w:color w:val="000000"/>
                <w:sz w:val="22"/>
              </w:rPr>
              <w:t>ж</w:t>
            </w:r>
            <w:r>
              <w:rPr>
                <w:rFonts w:ascii="Times New Roman" w:hAnsi="Times New Roman"/>
                <w:color w:val="000000"/>
                <w:sz w:val="22"/>
              </w:rPr>
              <w:t>данами</w:t>
            </w:r>
            <w:r>
              <w:rPr>
                <w:rFonts w:ascii="Times New Roman" w:hAnsi="Times New Roman"/>
                <w:color w:val="000000"/>
                <w:sz w:val="22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2"/>
              </w:rPr>
              <w:t>и организациями</w:t>
            </w:r>
          </w:p>
        </w:tc>
        <w:tc>
          <w:tcPr>
            <w:tcW w:type="dxa" w:w="2494"/>
            <w:tcBorders>
              <w:top w:color="000000" w:sz="4" w:val="single"/>
              <w:left w:color="000000" w:sz="4" w:val="single"/>
              <w:right w:color="000000" w:sz="4" w:val="single"/>
            </w:tcBorders>
          </w:tcPr>
          <w:p w14:paraId="3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функции, связанные</w:t>
            </w:r>
          </w:p>
          <w:p w14:paraId="3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с основным видом</w:t>
            </w:r>
          </w:p>
          <w:p w14:paraId="3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деятельности </w:t>
            </w:r>
          </w:p>
          <w:p w14:paraId="38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Учреждения</w:t>
            </w:r>
          </w:p>
        </w:tc>
        <w:tc>
          <w:tcPr>
            <w:tcW w:type="dxa" w:w="2494"/>
            <w:tcBorders>
              <w:top w:color="000000" w:sz="4" w:val="single"/>
              <w:left w:color="000000" w:sz="4" w:val="single"/>
              <w:right w:color="000000" w:sz="4" w:val="single"/>
            </w:tcBorders>
            <w:shd w:fill="auto" w:val="clear"/>
          </w:tcPr>
          <w:p w14:paraId="3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оказание </w:t>
            </w:r>
          </w:p>
          <w:p w14:paraId="3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государственных </w:t>
            </w:r>
          </w:p>
          <w:p w14:paraId="3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(муниципальных) услуг</w:t>
            </w: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right w:color="000000" w:sz="4" w:val="single"/>
            </w:tcBorders>
            <w:shd w:fill="auto" w:val="clear"/>
          </w:tcPr>
          <w:p w14:paraId="3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постоянно</w:t>
            </w:r>
          </w:p>
        </w:tc>
        <w:tc>
          <w:tcPr>
            <w:tcW w:type="dxa" w:w="1982"/>
            <w:tcBorders>
              <w:top w:color="000000" w:sz="4" w:val="single"/>
              <w:left w:color="000000" w:sz="4" w:val="single"/>
              <w:right w:color="000000" w:sz="4" w:val="single"/>
            </w:tcBorders>
            <w:shd w:fill="auto" w:val="clear"/>
          </w:tcPr>
          <w:p w14:paraId="3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руководитель</w:t>
            </w:r>
          </w:p>
          <w:p w14:paraId="3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Учреждения,</w:t>
            </w:r>
          </w:p>
          <w:p w14:paraId="3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заместители</w:t>
            </w:r>
          </w:p>
          <w:p w14:paraId="4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руководителя</w:t>
            </w:r>
          </w:p>
          <w:p w14:paraId="41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Учреждения</w:t>
            </w:r>
          </w:p>
        </w:tc>
        <w:tc>
          <w:tcPr>
            <w:tcW w:type="dxa" w:w="1830"/>
            <w:tcBorders>
              <w:top w:color="000000" w:sz="4" w:val="single"/>
              <w:left w:color="000000" w:sz="4" w:val="single"/>
              <w:right w:color="000000" w:sz="4" w:val="single"/>
            </w:tcBorders>
            <w:shd w:fill="auto" w:val="clear"/>
          </w:tcPr>
          <w:p w14:paraId="42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минимизация коррупционных рисков</w:t>
            </w:r>
          </w:p>
        </w:tc>
      </w:tr>
      <w:tr>
        <w:trPr>
          <w:trHeight w:hRule="atLeast" w:val="800"/>
        </w:trPr>
        <w:tc>
          <w:tcPr>
            <w:tcW w:type="dxa" w:w="551"/>
            <w:tcBorders>
              <w:top w:color="000000" w:sz="4" w:val="single"/>
              <w:left w:color="000000" w:sz="4" w:val="single"/>
              <w:right w:color="000000" w:sz="4" w:val="single"/>
            </w:tcBorders>
            <w:shd w:fill="auto" w:val="clear"/>
          </w:tcPr>
          <w:p w14:paraId="4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3</w:t>
            </w:r>
          </w:p>
        </w:tc>
        <w:tc>
          <w:tcPr>
            <w:tcW w:type="dxa" w:w="3232"/>
            <w:tcBorders>
              <w:top w:color="000000" w:sz="4" w:val="single"/>
              <w:left w:color="000000" w:sz="4" w:val="single"/>
              <w:right w:color="000000" w:sz="4" w:val="single"/>
            </w:tcBorders>
            <w:shd w:fill="auto" w:val="clear"/>
          </w:tcPr>
          <w:p w14:paraId="44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Принятие решений об уст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новлении выплат стимул</w:t>
            </w:r>
            <w:r>
              <w:rPr>
                <w:rFonts w:ascii="Times New Roman" w:hAnsi="Times New Roman"/>
                <w:sz w:val="22"/>
              </w:rPr>
              <w:t>и</w:t>
            </w:r>
            <w:r>
              <w:rPr>
                <w:rFonts w:ascii="Times New Roman" w:hAnsi="Times New Roman"/>
                <w:sz w:val="22"/>
              </w:rPr>
              <w:t>рующего характера работн</w:t>
            </w:r>
            <w:r>
              <w:rPr>
                <w:rFonts w:ascii="Times New Roman" w:hAnsi="Times New Roman"/>
                <w:sz w:val="22"/>
              </w:rPr>
              <w:t>и</w:t>
            </w:r>
            <w:r>
              <w:rPr>
                <w:rFonts w:ascii="Times New Roman" w:hAnsi="Times New Roman"/>
                <w:sz w:val="22"/>
              </w:rPr>
              <w:t>кам постоянно действующей в Учреждении комиссией на основании служебных зап</w:t>
            </w:r>
            <w:r>
              <w:rPr>
                <w:rFonts w:ascii="Times New Roman" w:hAnsi="Times New Roman"/>
                <w:sz w:val="22"/>
              </w:rPr>
              <w:t>и</w:t>
            </w:r>
            <w:r>
              <w:rPr>
                <w:rFonts w:ascii="Times New Roman" w:hAnsi="Times New Roman"/>
                <w:sz w:val="22"/>
              </w:rPr>
              <w:t>сок руководителей структу</w:t>
            </w:r>
            <w:r>
              <w:rPr>
                <w:rFonts w:ascii="Times New Roman" w:hAnsi="Times New Roman"/>
                <w:sz w:val="22"/>
              </w:rPr>
              <w:t>р</w:t>
            </w:r>
            <w:r>
              <w:rPr>
                <w:rFonts w:ascii="Times New Roman" w:hAnsi="Times New Roman"/>
                <w:sz w:val="22"/>
              </w:rPr>
              <w:t>ных подразделений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</w:p>
        </w:tc>
        <w:tc>
          <w:tcPr>
            <w:tcW w:type="dxa" w:w="2494"/>
            <w:tcBorders>
              <w:top w:color="000000" w:sz="4" w:val="single"/>
              <w:left w:color="000000" w:sz="4" w:val="single"/>
              <w:right w:color="000000" w:sz="4" w:val="single"/>
            </w:tcBorders>
          </w:tcPr>
          <w:p w14:paraId="4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трудовые отношения</w:t>
            </w:r>
          </w:p>
        </w:tc>
        <w:tc>
          <w:tcPr>
            <w:tcW w:type="dxa" w:w="2494"/>
            <w:tcBorders>
              <w:top w:color="000000" w:sz="4" w:val="single"/>
              <w:left w:color="000000" w:sz="4" w:val="single"/>
              <w:right w:color="000000" w:sz="4" w:val="single"/>
            </w:tcBorders>
            <w:shd w:fill="auto" w:val="clear"/>
          </w:tcPr>
          <w:p w14:paraId="4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оплата труда</w:t>
            </w:r>
          </w:p>
          <w:p w14:paraId="4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работников</w:t>
            </w:r>
          </w:p>
          <w:p w14:paraId="48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right w:color="000000" w:sz="4" w:val="single"/>
            </w:tcBorders>
            <w:shd w:fill="auto" w:val="clear"/>
          </w:tcPr>
          <w:p w14:paraId="4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постоянно</w:t>
            </w:r>
          </w:p>
        </w:tc>
        <w:tc>
          <w:tcPr>
            <w:tcW w:type="dxa" w:w="1982"/>
            <w:tcBorders>
              <w:top w:color="000000" w:sz="4" w:val="single"/>
              <w:left w:color="000000" w:sz="4" w:val="single"/>
              <w:right w:color="000000" w:sz="4" w:val="single"/>
            </w:tcBorders>
            <w:shd w:fill="auto" w:val="clear"/>
          </w:tcPr>
          <w:p w14:paraId="4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председатель</w:t>
            </w:r>
          </w:p>
          <w:p w14:paraId="4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постоянно</w:t>
            </w:r>
          </w:p>
          <w:p w14:paraId="4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действующей комиссии</w:t>
            </w:r>
            <w:r>
              <w:rPr>
                <w:rFonts w:ascii="Times New Roman" w:hAnsi="Times New Roman"/>
                <w:sz w:val="22"/>
              </w:rPr>
              <w:t xml:space="preserve"> по установлению выплат </w:t>
            </w:r>
          </w:p>
          <w:p w14:paraId="4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стимулирующего характера </w:t>
            </w:r>
          </w:p>
          <w:p w14:paraId="4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работникам</w:t>
            </w:r>
          </w:p>
        </w:tc>
        <w:tc>
          <w:tcPr>
            <w:tcW w:type="dxa" w:w="1830"/>
            <w:tcBorders>
              <w:top w:color="000000" w:sz="4" w:val="single"/>
              <w:left w:color="000000" w:sz="4" w:val="single"/>
              <w:right w:color="000000" w:sz="4" w:val="single"/>
            </w:tcBorders>
            <w:shd w:fill="auto" w:val="clear"/>
          </w:tcPr>
          <w:p w14:paraId="4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минимизация коррупционных рисков</w:t>
            </w:r>
          </w:p>
        </w:tc>
      </w:tr>
      <w:tr>
        <w:trPr>
          <w:trHeight w:hRule="atLeast" w:val="800"/>
        </w:trPr>
        <w:tc>
          <w:tcPr>
            <w:tcW w:type="dxa" w:w="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4</w:t>
            </w:r>
          </w:p>
        </w:tc>
        <w:tc>
          <w:tcPr>
            <w:tcW w:type="dxa" w:w="32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1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Коллегиальное рассмотрение вопросов  использования бюджетных средств и средств от иной приносящей доход деятельности</w:t>
            </w:r>
          </w:p>
        </w:tc>
        <w:tc>
          <w:tcPr>
            <w:tcW w:type="dxa" w:w="2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распоряжение </w:t>
            </w:r>
          </w:p>
          <w:p w14:paraId="5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бюджетными</w:t>
            </w:r>
          </w:p>
          <w:p w14:paraId="5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средствами и </w:t>
            </w:r>
          </w:p>
          <w:p w14:paraId="5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государственным (муниципальным) имуществом </w:t>
            </w:r>
          </w:p>
        </w:tc>
        <w:tc>
          <w:tcPr>
            <w:tcW w:type="dxa" w:w="2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принятие решений об использовании бю</w:t>
            </w:r>
            <w:r>
              <w:rPr>
                <w:rFonts w:ascii="Times New Roman" w:hAnsi="Times New Roman"/>
                <w:sz w:val="22"/>
              </w:rPr>
              <w:t>д</w:t>
            </w:r>
            <w:r>
              <w:rPr>
                <w:rFonts w:ascii="Times New Roman" w:hAnsi="Times New Roman"/>
                <w:sz w:val="22"/>
              </w:rPr>
              <w:t>жетных ассигнов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ний, средств от иной пр</w:t>
            </w:r>
            <w:r>
              <w:rPr>
                <w:rFonts w:ascii="Times New Roman" w:hAnsi="Times New Roman"/>
                <w:sz w:val="22"/>
              </w:rPr>
              <w:t>и</w:t>
            </w:r>
            <w:r>
              <w:rPr>
                <w:rFonts w:ascii="Times New Roman" w:hAnsi="Times New Roman"/>
                <w:sz w:val="22"/>
              </w:rPr>
              <w:t>носящей доход де</w:t>
            </w:r>
            <w:r>
              <w:rPr>
                <w:rFonts w:ascii="Times New Roman" w:hAnsi="Times New Roman"/>
                <w:sz w:val="22"/>
              </w:rPr>
              <w:t>я</w:t>
            </w:r>
            <w:r>
              <w:rPr>
                <w:rFonts w:ascii="Times New Roman" w:hAnsi="Times New Roman"/>
                <w:sz w:val="22"/>
              </w:rPr>
              <w:t>тельности</w:t>
            </w: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постоянно</w:t>
            </w:r>
          </w:p>
        </w:tc>
        <w:tc>
          <w:tcPr>
            <w:tcW w:type="dxa" w:w="1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8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руководитель </w:t>
            </w:r>
          </w:p>
          <w:p w14:paraId="5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Учреждения,</w:t>
            </w:r>
          </w:p>
          <w:p w14:paraId="5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заместители</w:t>
            </w:r>
          </w:p>
          <w:p w14:paraId="5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руководителя </w:t>
            </w:r>
          </w:p>
          <w:p w14:paraId="5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Учреждения, </w:t>
            </w:r>
          </w:p>
          <w:p w14:paraId="5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главный </w:t>
            </w:r>
          </w:p>
          <w:p w14:paraId="5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бухгалтер</w:t>
            </w:r>
          </w:p>
        </w:tc>
        <w:tc>
          <w:tcPr>
            <w:tcW w:type="dxa" w:w="1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минимизация коррупционных рисков</w:t>
            </w:r>
          </w:p>
        </w:tc>
      </w:tr>
      <w:tr>
        <w:trPr>
          <w:trHeight w:hRule="atLeast" w:val="800"/>
        </w:trPr>
        <w:tc>
          <w:tcPr>
            <w:tcW w:type="dxa" w:w="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5</w:t>
            </w:r>
          </w:p>
        </w:tc>
        <w:tc>
          <w:tcPr>
            <w:tcW w:type="dxa" w:w="32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1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Включение в должностные инструкции (трудовые дог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воры) работников Учрежд</w:t>
            </w:r>
            <w:r>
              <w:rPr>
                <w:rFonts w:ascii="Times New Roman" w:hAnsi="Times New Roman"/>
                <w:sz w:val="22"/>
              </w:rPr>
              <w:t>е</w:t>
            </w:r>
            <w:r>
              <w:rPr>
                <w:rFonts w:ascii="Times New Roman" w:hAnsi="Times New Roman"/>
                <w:sz w:val="22"/>
              </w:rPr>
              <w:t>ния обязанности о неразгл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шении служебной информ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ции, персональных данных и ответственности за несобл</w:t>
            </w:r>
            <w:r>
              <w:rPr>
                <w:rFonts w:ascii="Times New Roman" w:hAnsi="Times New Roman"/>
                <w:sz w:val="22"/>
              </w:rPr>
              <w:t>ю</w:t>
            </w:r>
            <w:r>
              <w:rPr>
                <w:rFonts w:ascii="Times New Roman" w:hAnsi="Times New Roman"/>
                <w:sz w:val="22"/>
              </w:rPr>
              <w:t xml:space="preserve">дение такой обязанности </w:t>
            </w:r>
          </w:p>
        </w:tc>
        <w:tc>
          <w:tcPr>
            <w:tcW w:type="dxa" w:w="2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работа с информац</w:t>
            </w:r>
            <w:r>
              <w:rPr>
                <w:rFonts w:ascii="Times New Roman" w:hAnsi="Times New Roman"/>
                <w:color w:val="000000"/>
                <w:sz w:val="22"/>
              </w:rPr>
              <w:t>и</w:t>
            </w:r>
            <w:r>
              <w:rPr>
                <w:rFonts w:ascii="Times New Roman" w:hAnsi="Times New Roman"/>
                <w:color w:val="000000"/>
                <w:sz w:val="22"/>
              </w:rPr>
              <w:t>ей</w:t>
            </w:r>
          </w:p>
        </w:tc>
        <w:tc>
          <w:tcPr>
            <w:tcW w:type="dxa" w:w="2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работа со служебной информацией, соде</w:t>
            </w:r>
            <w:r>
              <w:rPr>
                <w:rFonts w:ascii="Times New Roman" w:hAnsi="Times New Roman"/>
                <w:sz w:val="22"/>
              </w:rPr>
              <w:t>р</w:t>
            </w:r>
            <w:r>
              <w:rPr>
                <w:rFonts w:ascii="Times New Roman" w:hAnsi="Times New Roman"/>
                <w:sz w:val="22"/>
              </w:rPr>
              <w:t>жащейся в информ</w:t>
            </w:r>
            <w:r>
              <w:rPr>
                <w:rFonts w:ascii="Times New Roman" w:hAnsi="Times New Roman"/>
                <w:sz w:val="22"/>
              </w:rPr>
              <w:t>а</w:t>
            </w:r>
            <w:r>
              <w:rPr>
                <w:rFonts w:ascii="Times New Roman" w:hAnsi="Times New Roman"/>
                <w:sz w:val="22"/>
              </w:rPr>
              <w:t>ционных системах, документах, в том числе с персональн</w:t>
            </w:r>
            <w:r>
              <w:rPr>
                <w:rFonts w:ascii="Times New Roman" w:hAnsi="Times New Roman"/>
                <w:sz w:val="22"/>
              </w:rPr>
              <w:t>ы</w:t>
            </w:r>
            <w:r>
              <w:rPr>
                <w:rFonts w:ascii="Times New Roman" w:hAnsi="Times New Roman"/>
                <w:sz w:val="22"/>
              </w:rPr>
              <w:t>ми данными работн</w:t>
            </w:r>
            <w:r>
              <w:rPr>
                <w:rFonts w:ascii="Times New Roman" w:hAnsi="Times New Roman"/>
                <w:sz w:val="22"/>
              </w:rPr>
              <w:t>и</w:t>
            </w:r>
            <w:r>
              <w:rPr>
                <w:rFonts w:ascii="Times New Roman" w:hAnsi="Times New Roman"/>
                <w:sz w:val="22"/>
              </w:rPr>
              <w:t>ков Учреждения и п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 xml:space="preserve">лучателей услуг </w:t>
            </w: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постоянно</w:t>
            </w:r>
          </w:p>
        </w:tc>
        <w:tc>
          <w:tcPr>
            <w:tcW w:type="dxa" w:w="1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должностное </w:t>
            </w:r>
          </w:p>
          <w:p w14:paraId="6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л</w:t>
            </w:r>
            <w:r>
              <w:rPr>
                <w:rFonts w:ascii="Times New Roman" w:hAnsi="Times New Roman"/>
                <w:color w:val="000000"/>
                <w:sz w:val="22"/>
              </w:rPr>
              <w:t>и</w:t>
            </w:r>
            <w:r>
              <w:rPr>
                <w:rFonts w:ascii="Times New Roman" w:hAnsi="Times New Roman"/>
                <w:color w:val="000000"/>
                <w:sz w:val="22"/>
              </w:rPr>
              <w:t xml:space="preserve">цо, </w:t>
            </w:r>
          </w:p>
          <w:p w14:paraId="6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ответственное </w:t>
            </w:r>
          </w:p>
          <w:p w14:paraId="68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за профилактику коррупционных и иных </w:t>
            </w:r>
          </w:p>
          <w:p w14:paraId="6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правонарушений в Учреждении</w:t>
            </w:r>
          </w:p>
        </w:tc>
        <w:tc>
          <w:tcPr>
            <w:tcW w:type="dxa" w:w="1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минимизация коррупционных рисков</w:t>
            </w:r>
          </w:p>
        </w:tc>
      </w:tr>
      <w:tr>
        <w:trPr>
          <w:trHeight w:hRule="atLeast" w:val="149"/>
        </w:trPr>
        <w:tc>
          <w:tcPr>
            <w:tcW w:type="dxa" w:w="551"/>
            <w:tcBorders>
              <w:top w:color="000000" w:sz="4" w:val="single"/>
              <w:left w:color="000000" w:sz="4" w:val="single"/>
              <w:right w:color="000000" w:sz="4" w:val="single"/>
            </w:tcBorders>
            <w:shd w:fill="auto" w:val="clear"/>
          </w:tcPr>
          <w:p w14:paraId="6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6</w:t>
            </w:r>
          </w:p>
        </w:tc>
        <w:tc>
          <w:tcPr>
            <w:tcW w:type="dxa" w:w="3232"/>
            <w:tcBorders>
              <w:top w:color="000000" w:sz="4" w:val="single"/>
              <w:left w:color="000000" w:sz="4" w:val="single"/>
              <w:right w:color="000000" w:sz="4" w:val="single"/>
            </w:tcBorders>
            <w:shd w:fill="auto" w:val="clear"/>
          </w:tcPr>
          <w:p w14:paraId="6C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Разъяснение работникам Учреждения  положений з</w:t>
            </w:r>
            <w:r>
              <w:rPr>
                <w:rFonts w:ascii="Times New Roman" w:hAnsi="Times New Roman"/>
                <w:color w:val="000000"/>
                <w:sz w:val="22"/>
              </w:rPr>
              <w:t>а</w:t>
            </w:r>
            <w:r>
              <w:rPr>
                <w:rFonts w:ascii="Times New Roman" w:hAnsi="Times New Roman"/>
                <w:color w:val="000000"/>
                <w:sz w:val="22"/>
              </w:rPr>
              <w:t>конодательства о мерах о</w:t>
            </w:r>
            <w:r>
              <w:rPr>
                <w:rFonts w:ascii="Times New Roman" w:hAnsi="Times New Roman"/>
                <w:color w:val="000000"/>
                <w:sz w:val="22"/>
              </w:rPr>
              <w:t>т</w:t>
            </w:r>
            <w:r>
              <w:rPr>
                <w:rFonts w:ascii="Times New Roman" w:hAnsi="Times New Roman"/>
                <w:color w:val="000000"/>
                <w:sz w:val="22"/>
              </w:rPr>
              <w:t>ветственности за совершение коррупционных правонар</w:t>
            </w:r>
            <w:r>
              <w:rPr>
                <w:rFonts w:ascii="Times New Roman" w:hAnsi="Times New Roman"/>
                <w:color w:val="000000"/>
                <w:sz w:val="22"/>
              </w:rPr>
              <w:t>у</w:t>
            </w:r>
            <w:r>
              <w:rPr>
                <w:rFonts w:ascii="Times New Roman" w:hAnsi="Times New Roman"/>
                <w:color w:val="000000"/>
                <w:sz w:val="22"/>
              </w:rPr>
              <w:t>шений</w:t>
            </w:r>
          </w:p>
          <w:p w14:paraId="6D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type="dxa" w:w="2494"/>
            <w:tcBorders>
              <w:top w:color="000000" w:sz="4" w:val="single"/>
              <w:left w:color="000000" w:sz="4" w:val="single"/>
              <w:right w:color="000000" w:sz="4" w:val="single"/>
            </w:tcBorders>
          </w:tcPr>
          <w:p w14:paraId="6E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1. Организация</w:t>
            </w:r>
          </w:p>
          <w:p w14:paraId="6F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д</w:t>
            </w:r>
            <w:r>
              <w:rPr>
                <w:rFonts w:ascii="Times New Roman" w:hAnsi="Times New Roman"/>
                <w:sz w:val="22"/>
              </w:rPr>
              <w:t xml:space="preserve">еятельности </w:t>
            </w:r>
            <w:r>
              <w:rPr>
                <w:rFonts w:ascii="Times New Roman" w:hAnsi="Times New Roman"/>
                <w:color w:val="000000"/>
                <w:sz w:val="22"/>
              </w:rPr>
              <w:t>Учр</w:t>
            </w:r>
            <w:r>
              <w:rPr>
                <w:rFonts w:ascii="Times New Roman" w:hAnsi="Times New Roman"/>
                <w:color w:val="000000"/>
                <w:sz w:val="22"/>
              </w:rPr>
              <w:t>е</w:t>
            </w:r>
            <w:r>
              <w:rPr>
                <w:rFonts w:ascii="Times New Roman" w:hAnsi="Times New Roman"/>
                <w:color w:val="000000"/>
                <w:sz w:val="22"/>
              </w:rPr>
              <w:t>ждения.</w:t>
            </w:r>
          </w:p>
          <w:p w14:paraId="70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2. Трудовые отнош</w:t>
            </w:r>
            <w:r>
              <w:rPr>
                <w:rFonts w:ascii="Times New Roman" w:hAnsi="Times New Roman"/>
                <w:color w:val="000000"/>
                <w:sz w:val="22"/>
              </w:rPr>
              <w:t>е</w:t>
            </w:r>
            <w:r>
              <w:rPr>
                <w:rFonts w:ascii="Times New Roman" w:hAnsi="Times New Roman"/>
                <w:color w:val="000000"/>
                <w:sz w:val="22"/>
              </w:rPr>
              <w:t>ния.</w:t>
            </w:r>
          </w:p>
          <w:p w14:paraId="71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3. Распоряжение бюджетными сре</w:t>
            </w:r>
            <w:r>
              <w:rPr>
                <w:rFonts w:ascii="Times New Roman" w:hAnsi="Times New Roman"/>
                <w:color w:val="000000"/>
                <w:sz w:val="22"/>
              </w:rPr>
              <w:t>д</w:t>
            </w:r>
            <w:r>
              <w:rPr>
                <w:rFonts w:ascii="Times New Roman" w:hAnsi="Times New Roman"/>
                <w:color w:val="000000"/>
                <w:sz w:val="22"/>
              </w:rPr>
              <w:t xml:space="preserve">ствами и </w:t>
            </w:r>
            <w:r>
              <w:rPr>
                <w:rFonts w:ascii="Times New Roman" w:hAnsi="Times New Roman"/>
                <w:color w:val="000000"/>
                <w:sz w:val="22"/>
              </w:rPr>
              <w:t>государст</w:t>
            </w:r>
            <w:r>
              <w:rPr>
                <w:rFonts w:ascii="Times New Roman" w:hAnsi="Times New Roman"/>
                <w:color w:val="000000"/>
                <w:sz w:val="22"/>
              </w:rPr>
              <w:t>-</w:t>
            </w:r>
            <w:r>
              <w:rPr>
                <w:rFonts w:ascii="Times New Roman" w:hAnsi="Times New Roman"/>
                <w:color w:val="000000"/>
                <w:sz w:val="22"/>
              </w:rPr>
              <w:t>венным</w:t>
            </w:r>
            <w:r>
              <w:rPr>
                <w:rFonts w:ascii="Times New Roman" w:hAnsi="Times New Roman"/>
                <w:color w:val="000000"/>
                <w:sz w:val="22"/>
              </w:rPr>
              <w:t xml:space="preserve"> (муниципал</w:t>
            </w:r>
            <w:r>
              <w:rPr>
                <w:rFonts w:ascii="Times New Roman" w:hAnsi="Times New Roman"/>
                <w:color w:val="000000"/>
                <w:sz w:val="22"/>
              </w:rPr>
              <w:t>ь</w:t>
            </w:r>
            <w:r>
              <w:rPr>
                <w:rFonts w:ascii="Times New Roman" w:hAnsi="Times New Roman"/>
                <w:color w:val="000000"/>
                <w:sz w:val="22"/>
              </w:rPr>
              <w:t>ным) имущ</w:t>
            </w:r>
            <w:r>
              <w:rPr>
                <w:rFonts w:ascii="Times New Roman" w:hAnsi="Times New Roman"/>
                <w:color w:val="000000"/>
                <w:sz w:val="22"/>
              </w:rPr>
              <w:t>е</w:t>
            </w:r>
            <w:r>
              <w:rPr>
                <w:rFonts w:ascii="Times New Roman" w:hAnsi="Times New Roman"/>
                <w:color w:val="000000"/>
                <w:sz w:val="22"/>
              </w:rPr>
              <w:t>ством</w:t>
            </w:r>
          </w:p>
        </w:tc>
        <w:tc>
          <w:tcPr>
            <w:tcW w:type="dxa" w:w="2494"/>
            <w:tcBorders>
              <w:top w:color="000000" w:sz="4" w:val="single"/>
              <w:left w:color="000000" w:sz="4" w:val="single"/>
              <w:right w:color="000000" w:sz="4" w:val="single"/>
            </w:tcBorders>
            <w:shd w:fill="auto" w:val="clear"/>
          </w:tcPr>
          <w:p w14:paraId="72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возникновение </w:t>
            </w:r>
          </w:p>
          <w:p w14:paraId="7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личной заинтерес</w:t>
            </w:r>
            <w:r>
              <w:rPr>
                <w:rFonts w:ascii="Times New Roman" w:hAnsi="Times New Roman"/>
                <w:color w:val="000000"/>
                <w:sz w:val="22"/>
              </w:rPr>
              <w:t>о</w:t>
            </w:r>
            <w:r>
              <w:rPr>
                <w:rFonts w:ascii="Times New Roman" w:hAnsi="Times New Roman"/>
                <w:color w:val="000000"/>
                <w:sz w:val="22"/>
              </w:rPr>
              <w:t xml:space="preserve">ванности работников </w:t>
            </w:r>
          </w:p>
          <w:p w14:paraId="7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Учреждения, </w:t>
            </w:r>
            <w:r>
              <w:rPr>
                <w:rFonts w:ascii="Times New Roman" w:hAnsi="Times New Roman"/>
                <w:color w:val="000000"/>
                <w:sz w:val="22"/>
              </w:rPr>
              <w:t>которая</w:t>
            </w:r>
            <w:r>
              <w:rPr>
                <w:rFonts w:ascii="Times New Roman" w:hAnsi="Times New Roman"/>
                <w:color w:val="000000"/>
                <w:sz w:val="22"/>
              </w:rPr>
              <w:t xml:space="preserve"> может привести к конфликту интересов</w:t>
            </w: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right w:color="000000" w:sz="4" w:val="single"/>
            </w:tcBorders>
            <w:shd w:fill="auto" w:val="clear"/>
          </w:tcPr>
          <w:p w14:paraId="7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постоянно</w:t>
            </w:r>
          </w:p>
        </w:tc>
        <w:tc>
          <w:tcPr>
            <w:tcW w:type="dxa" w:w="1982"/>
            <w:tcBorders>
              <w:top w:color="000000" w:sz="4" w:val="single"/>
              <w:left w:color="000000" w:sz="4" w:val="single"/>
              <w:right w:color="000000" w:sz="4" w:val="single"/>
            </w:tcBorders>
            <w:shd w:fill="auto" w:val="clear"/>
          </w:tcPr>
          <w:p w14:paraId="7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должностное </w:t>
            </w:r>
          </w:p>
          <w:p w14:paraId="7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2"/>
              </w:rPr>
            </w:pPr>
            <w:bookmarkStart w:id="1" w:name="_GoBack"/>
            <w:bookmarkEnd w:id="1"/>
            <w:r>
              <w:rPr>
                <w:rFonts w:ascii="Times New Roman" w:hAnsi="Times New Roman"/>
                <w:color w:val="000000"/>
                <w:sz w:val="22"/>
              </w:rPr>
              <w:t>л</w:t>
            </w:r>
            <w:r>
              <w:rPr>
                <w:rFonts w:ascii="Times New Roman" w:hAnsi="Times New Roman"/>
                <w:color w:val="000000"/>
                <w:sz w:val="22"/>
              </w:rPr>
              <w:t>и</w:t>
            </w:r>
            <w:r>
              <w:rPr>
                <w:rFonts w:ascii="Times New Roman" w:hAnsi="Times New Roman"/>
                <w:color w:val="000000"/>
                <w:sz w:val="22"/>
              </w:rPr>
              <w:t xml:space="preserve">цо, </w:t>
            </w:r>
          </w:p>
          <w:p w14:paraId="78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ответственное </w:t>
            </w:r>
          </w:p>
          <w:p w14:paraId="7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за профилактику коррупционных и иных </w:t>
            </w:r>
          </w:p>
          <w:p w14:paraId="7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правонарушений в Учреждении</w:t>
            </w:r>
          </w:p>
        </w:tc>
        <w:tc>
          <w:tcPr>
            <w:tcW w:type="dxa" w:w="1830"/>
            <w:tcBorders>
              <w:top w:color="000000" w:sz="4" w:val="single"/>
              <w:left w:color="000000" w:sz="4" w:val="single"/>
              <w:right w:color="000000" w:sz="4" w:val="single"/>
            </w:tcBorders>
            <w:shd w:fill="auto" w:val="clear"/>
          </w:tcPr>
          <w:p w14:paraId="7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минимизация коррупционных рисков</w:t>
            </w:r>
            <w:r>
              <w:rPr>
                <w:rFonts w:ascii="Times New Roman" w:hAnsi="Times New Roman"/>
                <w:color w:val="000000"/>
                <w:sz w:val="22"/>
              </w:rPr>
              <w:t>;</w:t>
            </w:r>
          </w:p>
          <w:p w14:paraId="7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повышение уровня прав</w:t>
            </w:r>
            <w:r>
              <w:rPr>
                <w:rFonts w:ascii="Times New Roman" w:hAnsi="Times New Roman"/>
                <w:color w:val="000000"/>
                <w:sz w:val="22"/>
              </w:rPr>
              <w:t>о</w:t>
            </w:r>
            <w:r>
              <w:rPr>
                <w:rFonts w:ascii="Times New Roman" w:hAnsi="Times New Roman"/>
                <w:color w:val="000000"/>
                <w:sz w:val="22"/>
              </w:rPr>
              <w:t>вой грамотн</w:t>
            </w:r>
            <w:r>
              <w:rPr>
                <w:rFonts w:ascii="Times New Roman" w:hAnsi="Times New Roman"/>
                <w:color w:val="000000"/>
                <w:sz w:val="22"/>
              </w:rPr>
              <w:t>о</w:t>
            </w:r>
            <w:r>
              <w:rPr>
                <w:rFonts w:ascii="Times New Roman" w:hAnsi="Times New Roman"/>
                <w:color w:val="000000"/>
                <w:sz w:val="22"/>
              </w:rPr>
              <w:t>сти работников Учреждения</w:t>
            </w:r>
          </w:p>
        </w:tc>
      </w:tr>
      <w:tr>
        <w:trPr>
          <w:trHeight w:hRule="atLeast" w:val="800"/>
        </w:trPr>
        <w:tc>
          <w:tcPr>
            <w:tcW w:type="dxa" w:w="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7</w:t>
            </w:r>
          </w:p>
        </w:tc>
        <w:tc>
          <w:tcPr>
            <w:tcW w:type="dxa" w:w="32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E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Мероприятия по минимиз</w:t>
            </w:r>
            <w:r>
              <w:rPr>
                <w:rFonts w:ascii="Times New Roman" w:hAnsi="Times New Roman"/>
                <w:color w:val="000000"/>
                <w:sz w:val="22"/>
              </w:rPr>
              <w:t>а</w:t>
            </w:r>
            <w:r>
              <w:rPr>
                <w:rFonts w:ascii="Times New Roman" w:hAnsi="Times New Roman"/>
                <w:color w:val="000000"/>
                <w:sz w:val="22"/>
              </w:rPr>
              <w:t>ции коррупционных рисков содержатся в плане (реестре) мер, направленных на мин</w:t>
            </w:r>
            <w:r>
              <w:rPr>
                <w:rFonts w:ascii="Times New Roman" w:hAnsi="Times New Roman"/>
                <w:color w:val="000000"/>
                <w:sz w:val="22"/>
              </w:rPr>
              <w:t>и</w:t>
            </w:r>
            <w:r>
              <w:rPr>
                <w:rFonts w:ascii="Times New Roman" w:hAnsi="Times New Roman"/>
                <w:color w:val="000000"/>
                <w:sz w:val="22"/>
              </w:rPr>
              <w:t>мизацию коррупционных рисков, возникающих при осуществлении закупок тов</w:t>
            </w:r>
            <w:r>
              <w:rPr>
                <w:rFonts w:ascii="Times New Roman" w:hAnsi="Times New Roman"/>
                <w:color w:val="000000"/>
                <w:sz w:val="22"/>
              </w:rPr>
              <w:t>а</w:t>
            </w:r>
            <w:r>
              <w:rPr>
                <w:rFonts w:ascii="Times New Roman" w:hAnsi="Times New Roman"/>
                <w:color w:val="000000"/>
                <w:sz w:val="22"/>
              </w:rPr>
              <w:t>ров, работ, услуг для обесп</w:t>
            </w:r>
            <w:r>
              <w:rPr>
                <w:rFonts w:ascii="Times New Roman" w:hAnsi="Times New Roman"/>
                <w:color w:val="000000"/>
                <w:sz w:val="22"/>
              </w:rPr>
              <w:t>е</w:t>
            </w:r>
            <w:r>
              <w:rPr>
                <w:rFonts w:ascii="Times New Roman" w:hAnsi="Times New Roman"/>
                <w:color w:val="000000"/>
                <w:sz w:val="22"/>
              </w:rPr>
              <w:t>чения государственных (м</w:t>
            </w:r>
            <w:r>
              <w:rPr>
                <w:rFonts w:ascii="Times New Roman" w:hAnsi="Times New Roman"/>
                <w:color w:val="000000"/>
                <w:sz w:val="22"/>
              </w:rPr>
              <w:t>у</w:t>
            </w:r>
            <w:r>
              <w:rPr>
                <w:rFonts w:ascii="Times New Roman" w:hAnsi="Times New Roman"/>
                <w:color w:val="000000"/>
                <w:sz w:val="22"/>
              </w:rPr>
              <w:t>ниципальных) нужд</w:t>
            </w:r>
            <w:r>
              <w:rPr>
                <w:rFonts w:ascii="Times New Roman" w:hAnsi="Times New Roman"/>
                <w:color w:val="000000"/>
                <w:sz w:val="22"/>
              </w:rPr>
              <w:t>, утве</w:t>
            </w:r>
            <w:r>
              <w:rPr>
                <w:rFonts w:ascii="Times New Roman" w:hAnsi="Times New Roman"/>
                <w:color w:val="000000"/>
                <w:sz w:val="22"/>
              </w:rPr>
              <w:t>р</w:t>
            </w:r>
            <w:r>
              <w:rPr>
                <w:rFonts w:ascii="Times New Roman" w:hAnsi="Times New Roman"/>
                <w:color w:val="000000"/>
                <w:sz w:val="22"/>
              </w:rPr>
              <w:t>жденном приказом (расп</w:t>
            </w:r>
            <w:r>
              <w:rPr>
                <w:rFonts w:ascii="Times New Roman" w:hAnsi="Times New Roman"/>
                <w:color w:val="000000"/>
                <w:sz w:val="22"/>
              </w:rPr>
              <w:t>о</w:t>
            </w:r>
            <w:r>
              <w:rPr>
                <w:rFonts w:ascii="Times New Roman" w:hAnsi="Times New Roman"/>
                <w:color w:val="000000"/>
                <w:sz w:val="22"/>
              </w:rPr>
              <w:t>ряжением) Учрежд</w:t>
            </w:r>
            <w:r>
              <w:rPr>
                <w:rFonts w:ascii="Times New Roman" w:hAnsi="Times New Roman"/>
                <w:color w:val="000000"/>
                <w:sz w:val="22"/>
              </w:rPr>
              <w:t>е</w:t>
            </w:r>
            <w:r>
              <w:rPr>
                <w:rFonts w:ascii="Times New Roman" w:hAnsi="Times New Roman"/>
                <w:color w:val="000000"/>
                <w:sz w:val="22"/>
              </w:rPr>
              <w:t>ния</w:t>
            </w:r>
          </w:p>
        </w:tc>
        <w:tc>
          <w:tcPr>
            <w:tcW w:type="dxa" w:w="2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осуществление </w:t>
            </w:r>
          </w:p>
          <w:p w14:paraId="8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закупок товаров, </w:t>
            </w:r>
          </w:p>
          <w:p w14:paraId="81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работ, услуг </w:t>
            </w:r>
            <w:r>
              <w:rPr>
                <w:rFonts w:ascii="Times New Roman" w:hAnsi="Times New Roman"/>
                <w:sz w:val="22"/>
              </w:rPr>
              <w:t>для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</w:p>
          <w:p w14:paraId="82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обеспечения</w:t>
            </w:r>
          </w:p>
          <w:p w14:paraId="8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государственных </w:t>
            </w:r>
          </w:p>
          <w:p w14:paraId="8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(муниципальных) нужд</w:t>
            </w:r>
          </w:p>
        </w:tc>
        <w:tc>
          <w:tcPr>
            <w:tcW w:type="dxa" w:w="2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type="dxa" w:w="1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7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type="dxa" w:w="1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8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</w:tr>
      <w:tr>
        <w:trPr>
          <w:trHeight w:hRule="atLeast" w:val="800"/>
        </w:trPr>
        <w:tc>
          <w:tcPr>
            <w:tcW w:type="dxa" w:w="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8</w:t>
            </w:r>
          </w:p>
        </w:tc>
        <w:tc>
          <w:tcPr>
            <w:tcW w:type="dxa" w:w="32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A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Другие меры </w:t>
            </w:r>
            <w:r>
              <w:rPr>
                <w:rFonts w:ascii="Times New Roman" w:hAnsi="Times New Roman"/>
                <w:color w:val="000000"/>
                <w:sz w:val="22"/>
              </w:rPr>
              <w:t>по минимиз</w:t>
            </w:r>
            <w:r>
              <w:rPr>
                <w:rFonts w:ascii="Times New Roman" w:hAnsi="Times New Roman"/>
                <w:color w:val="000000"/>
                <w:sz w:val="22"/>
              </w:rPr>
              <w:t>а</w:t>
            </w:r>
            <w:r>
              <w:rPr>
                <w:rFonts w:ascii="Times New Roman" w:hAnsi="Times New Roman"/>
                <w:color w:val="000000"/>
                <w:sz w:val="22"/>
              </w:rPr>
              <w:t>ции коррупционных рисков, возникающих в деятельности Учреждения</w:t>
            </w:r>
          </w:p>
        </w:tc>
        <w:tc>
          <w:tcPr>
            <w:tcW w:type="dxa" w:w="2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type="dxa" w:w="2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C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type="dxa" w:w="1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D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type="dxa" w:w="19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E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type="dxa" w:w="1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F0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2"/>
              </w:rPr>
            </w:pPr>
          </w:p>
        </w:tc>
      </w:tr>
    </w:tbl>
    <w:p w14:paraId="90000000">
      <w:pPr>
        <w:spacing w:after="0" w:line="12" w:lineRule="auto"/>
        <w:ind/>
        <w:jc w:val="center"/>
        <w:rPr>
          <w:rFonts w:ascii="Times New Roman" w:hAnsi="Times New Roman"/>
          <w:b w:val="1"/>
          <w:sz w:val="22"/>
        </w:rPr>
      </w:pPr>
    </w:p>
    <w:p w14:paraId="91000000">
      <w:pPr>
        <w:pStyle w:val="Style_4"/>
        <w:ind/>
        <w:jc w:val="both"/>
        <w:rPr>
          <w:rFonts w:ascii="Times New Roman" w:hAnsi="Times New Roman"/>
          <w:sz w:val="22"/>
        </w:rPr>
      </w:pPr>
    </w:p>
    <w:p w14:paraId="92000000">
      <w:pPr>
        <w:pStyle w:val="Style_4"/>
        <w:ind/>
        <w:jc w:val="both"/>
        <w:rPr>
          <w:sz w:val="22"/>
        </w:rPr>
      </w:pPr>
      <w:r>
        <w:rPr>
          <w:rFonts w:ascii="Times New Roman" w:hAnsi="Times New Roman"/>
          <w:sz w:val="22"/>
        </w:rPr>
        <w:t>Исполнитель</w:t>
      </w:r>
    </w:p>
    <w:p w14:paraId="93000000">
      <w:pPr>
        <w:ind/>
        <w:jc w:val="center"/>
        <w:rPr>
          <w:sz w:val="22"/>
        </w:rPr>
      </w:pPr>
      <w:r>
        <w:rPr>
          <w:sz w:val="22"/>
        </w:rPr>
        <w:t>_____________</w:t>
      </w:r>
    </w:p>
    <w:sectPr>
      <w:headerReference r:id="rId3" w:type="first"/>
      <w:headerReference r:id="rId1" w:type="default"/>
      <w:footerReference r:id="rId4" w:type="first"/>
      <w:footerReference r:id="rId2" w:type="default"/>
      <w:pgSz w:h="11906" w:orient="landscape" w:w="16838"/>
      <w:pgMar w:bottom="737" w:footer="709" w:gutter="0" w:header="709" w:left="1134" w:right="1134" w:top="170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2"/>
    </w:pP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2"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center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1000000">
    <w:pPr>
      <w:pStyle w:val="Style_1"/>
      <w:ind/>
      <w:jc w:val="center"/>
      <w:rPr>
        <w:sz w:val="24"/>
      </w:rPr>
    </w:pPr>
  </w:p>
  <w:p w14:paraId="02000000">
    <w:pPr>
      <w:pStyle w:val="Style_1"/>
      <w:tabs>
        <w:tab w:leader="none" w:pos="4677" w:val="clear"/>
        <w:tab w:leader="none" w:pos="8743" w:val="left"/>
        <w:tab w:leader="none" w:pos="9355" w:val="clear"/>
      </w:tabs>
      <w:ind/>
    </w:pPr>
    <w:r>
      <w:tab/>
    </w: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</w:style>
  <w:style w:default="1" w:styleId="Style_5_ch" w:type="character">
    <w:name w:val="Normal"/>
    <w:link w:val="Style_5"/>
  </w:style>
  <w:style w:styleId="Style_6" w:type="paragraph">
    <w:name w:val="Balloon Text"/>
    <w:basedOn w:val="Style_5"/>
    <w:link w:val="Style_6_ch"/>
    <w:pPr>
      <w:spacing w:after="0" w:line="240" w:lineRule="auto"/>
      <w:ind/>
    </w:pPr>
    <w:rPr>
      <w:rFonts w:ascii="Tahoma" w:hAnsi="Tahoma"/>
      <w:sz w:val="16"/>
    </w:rPr>
  </w:style>
  <w:style w:styleId="Style_6_ch" w:type="character">
    <w:name w:val="Balloon Text"/>
    <w:basedOn w:val="Style_5_ch"/>
    <w:link w:val="Style_6"/>
    <w:rPr>
      <w:rFonts w:ascii="Tahoma" w:hAnsi="Tahoma"/>
      <w:sz w:val="16"/>
    </w:rPr>
  </w:style>
  <w:style w:styleId="Style_7" w:type="paragraph">
    <w:name w:val="toc 2"/>
    <w:next w:val="Style_5"/>
    <w:link w:val="Style_7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toc 4"/>
    <w:next w:val="Style_5"/>
    <w:link w:val="Style_8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toc 6"/>
    <w:next w:val="Style_5"/>
    <w:link w:val="Style_9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5"/>
    <w:link w:val="Style_10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List Paragraph"/>
    <w:basedOn w:val="Style_5"/>
    <w:link w:val="Style_11_ch"/>
    <w:pPr>
      <w:ind w:firstLine="0" w:left="720"/>
      <w:contextualSpacing w:val="1"/>
    </w:pPr>
  </w:style>
  <w:style w:styleId="Style_11_ch" w:type="character">
    <w:name w:val="List Paragraph"/>
    <w:basedOn w:val="Style_5_ch"/>
    <w:link w:val="Style_11"/>
  </w:style>
  <w:style w:styleId="Style_1" w:type="paragraph">
    <w:name w:val="header"/>
    <w:basedOn w:val="Style_5"/>
    <w:link w:val="Style_1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5_ch"/>
    <w:link w:val="Style_1"/>
  </w:style>
  <w:style w:styleId="Style_12" w:type="paragraph">
    <w:name w:val="heading 3"/>
    <w:next w:val="Style_5"/>
    <w:link w:val="Style_12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2" w:type="paragraph">
    <w:name w:val="footer"/>
    <w:basedOn w:val="Style_5"/>
    <w:link w:val="Style_2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_ch" w:type="character">
    <w:name w:val="footer"/>
    <w:basedOn w:val="Style_5_ch"/>
    <w:link w:val="Style_2"/>
  </w:style>
  <w:style w:styleId="Style_4" w:type="paragraph">
    <w:name w:val="ConsPlusNormal"/>
    <w:link w:val="Style_4_ch"/>
    <w:pPr>
      <w:widowControl w:val="0"/>
      <w:spacing w:after="0" w:line="240" w:lineRule="auto"/>
      <w:ind/>
    </w:pPr>
    <w:rPr>
      <w:rFonts w:ascii="Calibri" w:hAnsi="Calibri"/>
    </w:rPr>
  </w:style>
  <w:style w:styleId="Style_4_ch" w:type="character">
    <w:name w:val="ConsPlusNormal"/>
    <w:link w:val="Style_4"/>
    <w:rPr>
      <w:rFonts w:ascii="Calibri" w:hAnsi="Calibri"/>
    </w:rPr>
  </w:style>
  <w:style w:styleId="Style_14" w:type="paragraph">
    <w:name w:val="toc 3"/>
    <w:next w:val="Style_5"/>
    <w:link w:val="Style_14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15" w:type="paragraph">
    <w:name w:val="heading 5"/>
    <w:next w:val="Style_5"/>
    <w:link w:val="Style_15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5_ch" w:type="character">
    <w:name w:val="heading 5"/>
    <w:link w:val="Style_15"/>
    <w:rPr>
      <w:rFonts w:ascii="XO Thames" w:hAnsi="XO Thames"/>
      <w:b w:val="1"/>
      <w:sz w:val="22"/>
    </w:rPr>
  </w:style>
  <w:style w:styleId="Style_16" w:type="paragraph">
    <w:name w:val="heading 1"/>
    <w:next w:val="Style_5"/>
    <w:link w:val="Style_16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6_ch" w:type="character">
    <w:name w:val="heading 1"/>
    <w:link w:val="Style_16"/>
    <w:rPr>
      <w:rFonts w:ascii="XO Thames" w:hAnsi="XO Thames"/>
      <w:b w:val="1"/>
      <w:sz w:val="32"/>
    </w:rPr>
  </w:style>
  <w:style w:styleId="Style_17" w:type="paragraph">
    <w:name w:val="Hyperlink"/>
    <w:link w:val="Style_17_ch"/>
    <w:rPr>
      <w:color w:val="0000FF"/>
      <w:u w:val="single"/>
    </w:rPr>
  </w:style>
  <w:style w:styleId="Style_17_ch" w:type="character">
    <w:name w:val="Hyperlink"/>
    <w:link w:val="Style_17"/>
    <w:rPr>
      <w:color w:val="0000FF"/>
      <w:u w:val="single"/>
    </w:rPr>
  </w:style>
  <w:style w:styleId="Style_18" w:type="paragraph">
    <w:name w:val="Footnote"/>
    <w:link w:val="Style_18_ch"/>
    <w:pPr>
      <w:ind w:firstLine="851" w:left="0"/>
      <w:jc w:val="both"/>
    </w:pPr>
    <w:rPr>
      <w:rFonts w:ascii="XO Thames" w:hAnsi="XO Thames"/>
      <w:sz w:val="22"/>
    </w:rPr>
  </w:style>
  <w:style w:styleId="Style_18_ch" w:type="character">
    <w:name w:val="Footnote"/>
    <w:link w:val="Style_18"/>
    <w:rPr>
      <w:rFonts w:ascii="XO Thames" w:hAnsi="XO Thames"/>
      <w:sz w:val="22"/>
    </w:rPr>
  </w:style>
  <w:style w:styleId="Style_19" w:type="paragraph">
    <w:name w:val="toc 1"/>
    <w:next w:val="Style_5"/>
    <w:link w:val="Style_19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9_ch" w:type="character">
    <w:name w:val="toc 1"/>
    <w:link w:val="Style_19"/>
    <w:rPr>
      <w:rFonts w:ascii="XO Thames" w:hAnsi="XO Thames"/>
      <w:b w:val="1"/>
      <w:sz w:val="28"/>
    </w:rPr>
  </w:style>
  <w:style w:styleId="Style_20" w:type="paragraph">
    <w:name w:val="Header and Footer"/>
    <w:link w:val="Style_20_ch"/>
    <w:pPr>
      <w:spacing w:line="240" w:lineRule="auto"/>
      <w:ind/>
      <w:jc w:val="both"/>
    </w:pPr>
    <w:rPr>
      <w:rFonts w:ascii="XO Thames" w:hAnsi="XO Thames"/>
      <w:sz w:val="20"/>
    </w:rPr>
  </w:style>
  <w:style w:styleId="Style_20_ch" w:type="character">
    <w:name w:val="Header and Footer"/>
    <w:link w:val="Style_20"/>
    <w:rPr>
      <w:rFonts w:ascii="XO Thames" w:hAnsi="XO Thames"/>
      <w:sz w:val="20"/>
    </w:rPr>
  </w:style>
  <w:style w:styleId="Style_21" w:type="paragraph">
    <w:name w:val="toc 9"/>
    <w:next w:val="Style_5"/>
    <w:link w:val="Style_21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22" w:type="paragraph">
    <w:name w:val="toc 8"/>
    <w:next w:val="Style_5"/>
    <w:link w:val="Style_22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3" w:type="paragraph">
    <w:name w:val="toc 5"/>
    <w:next w:val="Style_5"/>
    <w:link w:val="Style_23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24" w:type="paragraph">
    <w:name w:val="Subtitle"/>
    <w:next w:val="Style_5"/>
    <w:link w:val="Style_24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4_ch" w:type="character">
    <w:name w:val="Subtitle"/>
    <w:link w:val="Style_24"/>
    <w:rPr>
      <w:rFonts w:ascii="XO Thames" w:hAnsi="XO Thames"/>
      <w:i w:val="1"/>
      <w:sz w:val="24"/>
    </w:rPr>
  </w:style>
  <w:style w:styleId="Style_25" w:type="paragraph">
    <w:name w:val="Title"/>
    <w:next w:val="Style_5"/>
    <w:link w:val="Style_25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5_ch" w:type="character">
    <w:name w:val="Title"/>
    <w:link w:val="Style_25"/>
    <w:rPr>
      <w:rFonts w:ascii="XO Thames" w:hAnsi="XO Thames"/>
      <w:b w:val="1"/>
      <w:caps w:val="1"/>
      <w:sz w:val="40"/>
    </w:rPr>
  </w:style>
  <w:style w:styleId="Style_26" w:type="paragraph">
    <w:name w:val="heading 4"/>
    <w:next w:val="Style_5"/>
    <w:link w:val="Style_26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6_ch" w:type="character">
    <w:name w:val="heading 4"/>
    <w:link w:val="Style_26"/>
    <w:rPr>
      <w:rFonts w:ascii="XO Thames" w:hAnsi="XO Thames"/>
      <w:b w:val="1"/>
      <w:sz w:val="24"/>
    </w:rPr>
  </w:style>
  <w:style w:styleId="Style_27" w:type="paragraph">
    <w:name w:val="heading 2"/>
    <w:next w:val="Style_5"/>
    <w:link w:val="Style_27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7_ch" w:type="character">
    <w:name w:val="heading 2"/>
    <w:link w:val="Style_27"/>
    <w:rPr>
      <w:rFonts w:ascii="XO Thames" w:hAnsi="XO Thames"/>
      <w:b w:val="1"/>
      <w:sz w:val="28"/>
    </w:rPr>
  </w:style>
  <w:style w:styleId="Style_28" w:type="table">
    <w:name w:val="Table Grid"/>
    <w:basedOn w:val="Style_3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0" Target="theme/theme1.xml" Type="http://schemas.openxmlformats.org/officeDocument/2006/relationships/theme"/>
  <Relationship Id="rId7" Target="styles.xml" Type="http://schemas.openxmlformats.org/officeDocument/2006/relationships/styles"/>
  <Relationship Id="rId6" Target="settings.xml" Type="http://schemas.openxmlformats.org/officeDocument/2006/relationships/settings"/>
  <Relationship Id="rId9" Target="webSettings.xml" Type="http://schemas.openxmlformats.org/officeDocument/2006/relationships/webSettings"/>
  <Relationship Id="rId5" Target="fontTable.xml" Type="http://schemas.openxmlformats.org/officeDocument/2006/relationships/fontTable"/>
  <Relationship Id="rId8" Target="stylesWithEffects.xml" Type="http://schemas.microsoft.com/office/2007/relationships/stylesWithEffects"/>
  <Relationship Id="rId4" Target="footer4.xml" Type="http://schemas.openxmlformats.org/officeDocument/2006/relationships/footer"/>
  <Relationship Id="rId3" Target="header3.xml" Type="http://schemas.openxmlformats.org/officeDocument/2006/relationships/header"/>
  <Relationship Id="rId2" Target="footer2.xml" Type="http://schemas.openxmlformats.org/officeDocument/2006/relationships/footer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MyOffice-CoreFramework-Windows/25-982.666.6545.616.0@RELEASE-DESKTOP-WASSABI_HOME-RC-RENEW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2024-04-18T11:27:32Z</dcterms:modified>
</cp:coreProperties>
</file>